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8DFF" w14:textId="0CC11516" w:rsidR="007562D6" w:rsidRPr="00067649" w:rsidRDefault="007562D6" w:rsidP="007562D6">
      <w:pPr>
        <w:jc w:val="right"/>
        <w:rPr>
          <w:rFonts w:asciiTheme="minorHAnsi" w:hAnsiTheme="minorHAnsi"/>
        </w:rPr>
      </w:pPr>
      <w:r>
        <w:rPr>
          <w:noProof/>
        </w:rPr>
        <w:drawing>
          <wp:inline distT="0" distB="0" distL="0" distR="0" wp14:anchorId="723A2A2D" wp14:editId="3C70EC2C">
            <wp:extent cx="1976400" cy="612000"/>
            <wp:effectExtent l="0" t="0" r="5080" b="0"/>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6400" cy="612000"/>
                    </a:xfrm>
                    <a:prstGeom prst="rect">
                      <a:avLst/>
                    </a:prstGeom>
                  </pic:spPr>
                </pic:pic>
              </a:graphicData>
            </a:graphic>
          </wp:inline>
        </w:drawing>
      </w:r>
    </w:p>
    <w:p w14:paraId="61D069C5" w14:textId="77777777" w:rsidR="007562D6" w:rsidRDefault="007562D6" w:rsidP="007562D6">
      <w:pPr>
        <w:tabs>
          <w:tab w:val="left" w:pos="3060"/>
          <w:tab w:val="left" w:pos="3119"/>
        </w:tabs>
        <w:rPr>
          <w:rFonts w:ascii="Calibri" w:eastAsia="Calibri" w:hAnsi="Calibri" w:cs="Calibri"/>
          <w:sz w:val="24"/>
          <w:szCs w:val="24"/>
          <w:lang w:val="en-GB"/>
        </w:rPr>
      </w:pPr>
      <w:r w:rsidRPr="4C71C0DD">
        <w:rPr>
          <w:rFonts w:ascii="Calibri" w:eastAsia="Calibri" w:hAnsi="Calibri" w:cs="Calibri"/>
          <w:b/>
          <w:bCs/>
          <w:color w:val="000000" w:themeColor="text1"/>
          <w:sz w:val="24"/>
          <w:szCs w:val="24"/>
          <w:lang w:val="en-GB"/>
        </w:rPr>
        <w:t xml:space="preserve">Job Title: </w:t>
      </w:r>
      <w:r>
        <w:tab/>
      </w:r>
      <w:r>
        <w:rPr>
          <w:rFonts w:ascii="Calibri" w:eastAsia="Calibri" w:hAnsi="Calibri" w:cs="Calibri"/>
          <w:b/>
          <w:bCs/>
          <w:sz w:val="24"/>
          <w:szCs w:val="24"/>
          <w:lang w:val="en-GB"/>
        </w:rPr>
        <w:t>Senior Research Associate – AI Agent Security</w:t>
      </w:r>
    </w:p>
    <w:p w14:paraId="13768741" w14:textId="62661771" w:rsidR="007562D6" w:rsidRDefault="007562D6" w:rsidP="007562D6">
      <w:pPr>
        <w:tabs>
          <w:tab w:val="left" w:pos="3060"/>
          <w:tab w:val="left" w:pos="3119"/>
        </w:tabs>
        <w:spacing w:line="259" w:lineRule="auto"/>
        <w:rPr>
          <w:rFonts w:ascii="Calibri" w:eastAsia="Calibri" w:hAnsi="Calibri" w:cs="Calibri"/>
          <w:color w:val="000000" w:themeColor="text1"/>
          <w:sz w:val="24"/>
          <w:szCs w:val="24"/>
        </w:rPr>
      </w:pPr>
      <w:r w:rsidRPr="4C71C0DD">
        <w:rPr>
          <w:rFonts w:ascii="Calibri" w:eastAsia="Calibri" w:hAnsi="Calibri" w:cs="Calibri"/>
          <w:b/>
          <w:bCs/>
          <w:color w:val="000000" w:themeColor="text1"/>
          <w:sz w:val="24"/>
          <w:szCs w:val="24"/>
          <w:lang w:val="en-GB"/>
        </w:rPr>
        <w:t xml:space="preserve">Salary range: </w:t>
      </w:r>
      <w:r>
        <w:tab/>
      </w:r>
      <w:r w:rsidR="00806ABF" w:rsidRPr="00806ABF">
        <w:rPr>
          <w:rFonts w:ascii="Calibri" w:hAnsi="Calibri" w:cs="Calibri"/>
          <w:b/>
          <w:bCs/>
          <w:sz w:val="24"/>
          <w:szCs w:val="24"/>
        </w:rPr>
        <w:t>£39,906-£46,049</w:t>
      </w:r>
    </w:p>
    <w:p w14:paraId="452F968A" w14:textId="77777777" w:rsidR="007562D6" w:rsidRPr="00486110" w:rsidRDefault="007562D6" w:rsidP="007562D6">
      <w:pPr>
        <w:tabs>
          <w:tab w:val="left" w:pos="3060"/>
          <w:tab w:val="left" w:pos="3119"/>
        </w:tabs>
        <w:rPr>
          <w:rFonts w:ascii="Calibri" w:eastAsia="Calibri" w:hAnsi="Calibri" w:cs="Calibri"/>
          <w:b/>
          <w:bCs/>
          <w:sz w:val="24"/>
          <w:szCs w:val="24"/>
          <w:lang w:val="en-GB"/>
        </w:rPr>
      </w:pPr>
      <w:r w:rsidRPr="00486110">
        <w:rPr>
          <w:rFonts w:ascii="Calibri" w:eastAsia="Calibri" w:hAnsi="Calibri" w:cs="Calibri"/>
          <w:b/>
          <w:bCs/>
          <w:color w:val="000000" w:themeColor="text1"/>
          <w:sz w:val="24"/>
          <w:szCs w:val="24"/>
          <w:lang w:val="en-GB"/>
        </w:rPr>
        <w:t>Department/Division:</w:t>
      </w:r>
      <w:r w:rsidRPr="00486110">
        <w:rPr>
          <w:lang w:val="en-GB"/>
        </w:rPr>
        <w:tab/>
      </w:r>
      <w:r w:rsidRPr="00486110">
        <w:rPr>
          <w:rFonts w:ascii="Calibri" w:eastAsia="Calibri" w:hAnsi="Calibri" w:cs="Calibri"/>
          <w:b/>
          <w:bCs/>
          <w:sz w:val="24"/>
          <w:szCs w:val="24"/>
          <w:lang w:val="en-GB"/>
        </w:rPr>
        <w:t>School of Computing &amp; Communications (</w:t>
      </w:r>
      <w:r>
        <w:rPr>
          <w:rFonts w:ascii="Calibri" w:eastAsia="Calibri" w:hAnsi="Calibri" w:cs="Calibri"/>
          <w:b/>
          <w:bCs/>
          <w:sz w:val="24"/>
          <w:szCs w:val="24"/>
          <w:lang w:val="en-GB"/>
        </w:rPr>
        <w:t>SCC</w:t>
      </w:r>
      <w:r w:rsidRPr="00486110">
        <w:rPr>
          <w:rFonts w:ascii="Calibri" w:eastAsia="Calibri" w:hAnsi="Calibri" w:cs="Calibri"/>
          <w:b/>
          <w:bCs/>
          <w:sz w:val="24"/>
          <w:szCs w:val="24"/>
          <w:lang w:val="en-GB"/>
        </w:rPr>
        <w:t>)</w:t>
      </w:r>
    </w:p>
    <w:p w14:paraId="4DAF0260" w14:textId="2FCBD004" w:rsidR="007562D6" w:rsidRDefault="007562D6" w:rsidP="007562D6">
      <w:pPr>
        <w:tabs>
          <w:tab w:val="left" w:pos="3060"/>
          <w:tab w:val="left" w:pos="3119"/>
        </w:tabs>
        <w:rPr>
          <w:rFonts w:ascii="Calibri" w:eastAsia="Calibri" w:hAnsi="Calibri" w:cs="Calibri"/>
          <w:b/>
          <w:bCs/>
          <w:sz w:val="24"/>
          <w:szCs w:val="24"/>
          <w:lang w:val="en-GB"/>
        </w:rPr>
      </w:pPr>
      <w:r w:rsidRPr="4C71C0DD">
        <w:rPr>
          <w:rFonts w:ascii="Calibri" w:eastAsia="Calibri" w:hAnsi="Calibri" w:cs="Calibri"/>
          <w:b/>
          <w:bCs/>
          <w:color w:val="000000" w:themeColor="text1"/>
          <w:sz w:val="24"/>
          <w:szCs w:val="24"/>
          <w:lang w:val="en-GB"/>
        </w:rPr>
        <w:t>Reports To:</w:t>
      </w:r>
      <w:r>
        <w:tab/>
      </w:r>
      <w:r w:rsidRPr="007562D6">
        <w:rPr>
          <w:rFonts w:ascii="Calibri" w:hAnsi="Calibri" w:cs="Calibri"/>
          <w:b/>
          <w:bCs/>
          <w:sz w:val="24"/>
          <w:szCs w:val="24"/>
        </w:rPr>
        <w:t>Professor Peter Garraghan</w:t>
      </w:r>
    </w:p>
    <w:p w14:paraId="303C37A1" w14:textId="77777777" w:rsidR="007562D6" w:rsidRDefault="007562D6" w:rsidP="007562D6">
      <w:pPr>
        <w:rPr>
          <w:rFonts w:ascii="Calibri" w:eastAsia="Calibri" w:hAnsi="Calibri" w:cs="Calibri"/>
          <w:color w:val="000000" w:themeColor="text1"/>
          <w:sz w:val="24"/>
          <w:szCs w:val="24"/>
        </w:rPr>
      </w:pPr>
    </w:p>
    <w:p w14:paraId="2FD65A7D" w14:textId="77777777" w:rsidR="009B3F6D" w:rsidRDefault="007562D6" w:rsidP="009B3F6D">
      <w:pPr>
        <w:rPr>
          <w:rFonts w:ascii="Calibri" w:eastAsia="Calibri" w:hAnsi="Calibri" w:cs="Calibri"/>
          <w:b/>
          <w:bCs/>
          <w:sz w:val="24"/>
          <w:szCs w:val="24"/>
          <w:lang w:val="en-GB"/>
        </w:rPr>
      </w:pPr>
      <w:r w:rsidRPr="4C71C0DD">
        <w:rPr>
          <w:rFonts w:ascii="Calibri" w:eastAsia="Calibri" w:hAnsi="Calibri" w:cs="Calibri"/>
          <w:b/>
          <w:bCs/>
          <w:sz w:val="24"/>
          <w:szCs w:val="24"/>
          <w:lang w:val="en-GB"/>
        </w:rPr>
        <w:t>About Us</w:t>
      </w:r>
    </w:p>
    <w:p w14:paraId="3E376A62" w14:textId="1D124ECF" w:rsidR="009B3F6D" w:rsidRPr="009B3F6D" w:rsidRDefault="009B3F6D" w:rsidP="009B3F6D">
      <w:pPr>
        <w:rPr>
          <w:rFonts w:asciiTheme="minorHAnsi" w:eastAsia="Calibri" w:hAnsiTheme="minorHAnsi" w:cs="Calibri"/>
          <w:b/>
          <w:bCs/>
          <w:sz w:val="24"/>
          <w:szCs w:val="24"/>
          <w:lang w:val="en-GB"/>
        </w:rPr>
      </w:pPr>
      <w:r w:rsidRPr="009B3F6D">
        <w:rPr>
          <w:rFonts w:asciiTheme="minorHAnsi" w:hAnsiTheme="minorHAnsi"/>
        </w:rPr>
        <w:t>The School of Computing and Communications (SCC) at Lancaster University is a research-intensive environment comprising of over 50 academics and 150 researchers, with a grant portfolio from a wide range of sources including EPSRC, Innovate UK, EU and industry.  We offer a multidisciplinary environment with enormous potential for collaboration and work on challenging real-world problems especially via our interdisciplinary research institutes</w:t>
      </w:r>
      <w:r>
        <w:rPr>
          <w:rFonts w:asciiTheme="minorHAnsi" w:hAnsiTheme="minorHAnsi"/>
        </w:rPr>
        <w:t>.</w:t>
      </w:r>
      <w:r w:rsidRPr="009B3F6D">
        <w:rPr>
          <w:rFonts w:asciiTheme="minorHAnsi" w:hAnsiTheme="minorHAnsi"/>
        </w:rPr>
        <w:t xml:space="preserve">  </w:t>
      </w:r>
    </w:p>
    <w:p w14:paraId="4D16FC45" w14:textId="77777777" w:rsidR="007562D6" w:rsidRDefault="007562D6" w:rsidP="007562D6">
      <w:pPr>
        <w:rPr>
          <w:rFonts w:ascii="Calibri" w:eastAsia="Calibri" w:hAnsi="Calibri" w:cs="Calibri"/>
          <w:sz w:val="24"/>
          <w:szCs w:val="24"/>
        </w:rPr>
      </w:pPr>
    </w:p>
    <w:p w14:paraId="05D8CD05" w14:textId="77777777" w:rsidR="007562D6" w:rsidRDefault="007562D6" w:rsidP="007562D6">
      <w:pPr>
        <w:rPr>
          <w:rFonts w:ascii="Calibri" w:eastAsia="Calibri" w:hAnsi="Calibri" w:cs="Calibri"/>
          <w:b/>
          <w:bCs/>
          <w:sz w:val="24"/>
          <w:szCs w:val="24"/>
          <w:lang w:val="en-GB"/>
        </w:rPr>
      </w:pPr>
      <w:r w:rsidRPr="4C71C0DD">
        <w:rPr>
          <w:rFonts w:ascii="Calibri" w:eastAsia="Calibri" w:hAnsi="Calibri" w:cs="Calibri"/>
          <w:b/>
          <w:bCs/>
          <w:sz w:val="24"/>
          <w:szCs w:val="24"/>
          <w:lang w:val="en-GB"/>
        </w:rPr>
        <w:t>Job Purpose</w:t>
      </w:r>
    </w:p>
    <w:p w14:paraId="693DE625" w14:textId="77777777" w:rsidR="007562D6" w:rsidRPr="00486110" w:rsidRDefault="007562D6" w:rsidP="007562D6">
      <w:pPr>
        <w:spacing w:after="120"/>
        <w:rPr>
          <w:rFonts w:asciiTheme="minorHAnsi" w:hAnsiTheme="minorHAnsi" w:cstheme="minorHAnsi"/>
          <w:szCs w:val="22"/>
        </w:rPr>
      </w:pPr>
      <w:r w:rsidRPr="00486110">
        <w:rPr>
          <w:rFonts w:asciiTheme="minorHAnsi" w:eastAsia="Gill Sans MT" w:hAnsiTheme="minorHAnsi" w:cstheme="minorHAnsi"/>
          <w:szCs w:val="22"/>
        </w:rPr>
        <w:t xml:space="preserve">You will create new methods and tools to discover, detect, and mitigate AI agent </w:t>
      </w:r>
      <w:proofErr w:type="spellStart"/>
      <w:r w:rsidRPr="00486110">
        <w:rPr>
          <w:rFonts w:asciiTheme="minorHAnsi" w:eastAsia="Gill Sans MT" w:hAnsiTheme="minorHAnsi" w:cstheme="minorHAnsi"/>
          <w:szCs w:val="22"/>
        </w:rPr>
        <w:t>cyber attacks</w:t>
      </w:r>
      <w:proofErr w:type="spellEnd"/>
      <w:r w:rsidRPr="00486110">
        <w:rPr>
          <w:rFonts w:asciiTheme="minorHAnsi" w:eastAsia="Gill Sans MT" w:hAnsiTheme="minorHAnsi" w:cstheme="minorHAnsi"/>
          <w:szCs w:val="22"/>
        </w:rPr>
        <w:t xml:space="preserve">. To assist in the delivery of research activities as part of a team, working on </w:t>
      </w:r>
      <w:proofErr w:type="gramStart"/>
      <w:r w:rsidRPr="00486110">
        <w:rPr>
          <w:rFonts w:asciiTheme="minorHAnsi" w:eastAsia="Gill Sans MT" w:hAnsiTheme="minorHAnsi" w:cstheme="minorHAnsi"/>
          <w:szCs w:val="22"/>
        </w:rPr>
        <w:t>an established</w:t>
      </w:r>
      <w:proofErr w:type="gramEnd"/>
      <w:r w:rsidRPr="00486110">
        <w:rPr>
          <w:rFonts w:asciiTheme="minorHAnsi" w:eastAsia="Gill Sans MT" w:hAnsiTheme="minorHAnsi" w:cstheme="minorHAnsi"/>
          <w:szCs w:val="22"/>
        </w:rPr>
        <w:t xml:space="preserve"> research </w:t>
      </w:r>
      <w:proofErr w:type="spellStart"/>
      <w:r w:rsidRPr="00486110">
        <w:rPr>
          <w:rFonts w:asciiTheme="minorHAnsi" w:eastAsia="Gill Sans MT" w:hAnsiTheme="minorHAnsi" w:cstheme="minorHAnsi"/>
          <w:szCs w:val="22"/>
        </w:rPr>
        <w:t>programmes</w:t>
      </w:r>
      <w:proofErr w:type="spellEnd"/>
      <w:r w:rsidRPr="00486110">
        <w:rPr>
          <w:rFonts w:asciiTheme="minorHAnsi" w:eastAsia="Gill Sans MT" w:hAnsiTheme="minorHAnsi" w:cstheme="minorHAnsi"/>
          <w:szCs w:val="22"/>
        </w:rPr>
        <w:t xml:space="preserve"> in collaboration with colleagues; to input as a team member to administrative activities; to assist where required with relevant teaching and knowledge exchange activities.</w:t>
      </w:r>
    </w:p>
    <w:p w14:paraId="1F4D87BA" w14:textId="77777777" w:rsidR="007562D6" w:rsidRDefault="007562D6" w:rsidP="007562D6">
      <w:pPr>
        <w:rPr>
          <w:rFonts w:ascii="Calibri" w:eastAsia="Calibri" w:hAnsi="Calibri" w:cs="Calibri"/>
          <w:b/>
          <w:bCs/>
          <w:sz w:val="24"/>
          <w:szCs w:val="24"/>
          <w:lang w:val="en-GB"/>
        </w:rPr>
      </w:pPr>
      <w:r w:rsidRPr="4C71C0DD">
        <w:rPr>
          <w:rFonts w:ascii="Calibri" w:eastAsia="Calibri" w:hAnsi="Calibri" w:cs="Calibri"/>
          <w:b/>
          <w:bCs/>
          <w:sz w:val="24"/>
          <w:szCs w:val="24"/>
          <w:lang w:val="en-GB"/>
        </w:rPr>
        <w:t>Main Responsibilities</w:t>
      </w:r>
    </w:p>
    <w:p w14:paraId="7C5CC06F" w14:textId="77777777" w:rsidR="007562D6" w:rsidRPr="00486110" w:rsidRDefault="007562D6" w:rsidP="007562D6">
      <w:pPr>
        <w:pStyle w:val="ListParagraph"/>
        <w:numPr>
          <w:ilvl w:val="0"/>
          <w:numId w:val="1"/>
        </w:numPr>
        <w:rPr>
          <w:rFonts w:asciiTheme="minorHAnsi" w:eastAsia="Calibri" w:hAnsiTheme="minorHAnsi" w:cstheme="minorHAnsi"/>
          <w:szCs w:val="22"/>
          <w:lang w:val="en-GB"/>
        </w:rPr>
      </w:pPr>
      <w:r w:rsidRPr="00486110">
        <w:rPr>
          <w:rFonts w:asciiTheme="minorHAnsi" w:eastAsia="Gill Sans MT" w:hAnsiTheme="minorHAnsi" w:cstheme="minorHAnsi"/>
          <w:szCs w:val="22"/>
        </w:rPr>
        <w:t>Conduct basic and applied research for studying and conducting research within cybersecurity and Artificial Intelligence</w:t>
      </w:r>
      <w:proofErr w:type="gramStart"/>
      <w:r w:rsidRPr="00486110">
        <w:rPr>
          <w:rFonts w:asciiTheme="minorHAnsi" w:eastAsia="Gill Sans MT" w:hAnsiTheme="minorHAnsi" w:cstheme="minorHAnsi"/>
          <w:szCs w:val="22"/>
        </w:rPr>
        <w:t>.</w:t>
      </w:r>
      <w:r w:rsidRPr="00486110">
        <w:rPr>
          <w:rFonts w:asciiTheme="minorHAnsi" w:eastAsia="Calibri" w:hAnsiTheme="minorHAnsi" w:cstheme="minorHAnsi"/>
          <w:szCs w:val="22"/>
          <w:lang w:val="en-GB"/>
        </w:rPr>
        <w:t>Use</w:t>
      </w:r>
      <w:proofErr w:type="gramEnd"/>
      <w:r w:rsidRPr="00486110">
        <w:rPr>
          <w:rFonts w:asciiTheme="minorHAnsi" w:eastAsia="Calibri" w:hAnsiTheme="minorHAnsi" w:cstheme="minorHAnsi"/>
          <w:szCs w:val="22"/>
          <w:lang w:val="en-GB"/>
        </w:rPr>
        <w:t xml:space="preserve"> and enhance mesoscale models (e.g. WRF-Chem) and global chemical transport models.</w:t>
      </w:r>
    </w:p>
    <w:p w14:paraId="0D4F68AD"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 xml:space="preserve">Create new tools and methods for addressing safety and security challenges within AI agents, </w:t>
      </w:r>
      <w:proofErr w:type="spellStart"/>
      <w:r>
        <w:rPr>
          <w:rFonts w:ascii="Calibri" w:eastAsia="Calibri" w:hAnsi="Calibri" w:cs="Calibri"/>
          <w:sz w:val="24"/>
          <w:szCs w:val="24"/>
          <w:lang w:val="en-GB"/>
        </w:rPr>
        <w:t>ShadowAI</w:t>
      </w:r>
      <w:proofErr w:type="spellEnd"/>
      <w:r>
        <w:rPr>
          <w:rFonts w:ascii="Calibri" w:eastAsia="Calibri" w:hAnsi="Calibri" w:cs="Calibri"/>
          <w:sz w:val="24"/>
          <w:szCs w:val="24"/>
          <w:lang w:val="en-GB"/>
        </w:rPr>
        <w:t>, spanning discovery, detection, and countermeasures</w:t>
      </w:r>
      <w:r w:rsidRPr="4C71C0DD">
        <w:rPr>
          <w:rFonts w:ascii="Calibri" w:eastAsia="Calibri" w:hAnsi="Calibri" w:cs="Calibri"/>
          <w:sz w:val="24"/>
          <w:szCs w:val="24"/>
          <w:lang w:val="en-GB"/>
        </w:rPr>
        <w:t>.</w:t>
      </w:r>
    </w:p>
    <w:p w14:paraId="3A6F5C30"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Develop research objectives and proposals for own or joint research and play a lead role in relation to a specific project/s or part of a broader project, with guidance from senior colleagues as required.</w:t>
      </w:r>
    </w:p>
    <w:p w14:paraId="5D305EC6"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 xml:space="preserve">Write up research work for publication, individually or in collaboration with colleagues, and disseminate results as appropriate to the discipline by, for example, peer reviewed journal publications and presentation at conferences. </w:t>
      </w:r>
    </w:p>
    <w:p w14:paraId="23B0BAC2"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Plan and manage own workload, with guidance from colleagues as required</w:t>
      </w:r>
      <w:r w:rsidRPr="4C71C0DD">
        <w:rPr>
          <w:rFonts w:ascii="Calibri" w:eastAsia="Calibri" w:hAnsi="Calibri" w:cs="Calibri"/>
          <w:sz w:val="24"/>
          <w:szCs w:val="24"/>
          <w:lang w:val="en-GB"/>
        </w:rPr>
        <w:t>.</w:t>
      </w:r>
    </w:p>
    <w:p w14:paraId="4DF95C5F"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Identify sources of funding and contribute to the securing of funds for research, including drafting grant proposals and planning for future proposals</w:t>
      </w:r>
      <w:r w:rsidRPr="4C71C0DD">
        <w:rPr>
          <w:rFonts w:ascii="Calibri" w:eastAsia="Calibri" w:hAnsi="Calibri" w:cs="Calibri"/>
          <w:sz w:val="24"/>
          <w:szCs w:val="24"/>
          <w:lang w:val="en-GB"/>
        </w:rPr>
        <w:t>.</w:t>
      </w:r>
    </w:p>
    <w:p w14:paraId="725995AE" w14:textId="77777777" w:rsidR="007562D6" w:rsidRDefault="007562D6" w:rsidP="007562D6">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Join external networks to share information and ideas, inform the development of research objectives and to identify potential sources of funding</w:t>
      </w:r>
      <w:r w:rsidRPr="4C71C0DD">
        <w:rPr>
          <w:rFonts w:ascii="Calibri" w:eastAsia="Calibri" w:hAnsi="Calibri" w:cs="Calibri"/>
          <w:sz w:val="24"/>
          <w:szCs w:val="24"/>
          <w:lang w:val="en-GB"/>
        </w:rPr>
        <w:t>.</w:t>
      </w:r>
    </w:p>
    <w:p w14:paraId="71D02700" w14:textId="77777777" w:rsidR="007562D6" w:rsidRPr="00486110" w:rsidRDefault="007562D6" w:rsidP="007562D6">
      <w:pPr>
        <w:numPr>
          <w:ilvl w:val="0"/>
          <w:numId w:val="1"/>
        </w:numPr>
        <w:rPr>
          <w:rFonts w:asciiTheme="minorHAnsi" w:eastAsia="Calibri" w:hAnsiTheme="minorHAnsi" w:cstheme="minorHAnsi"/>
          <w:szCs w:val="22"/>
          <w:lang w:val="en-GB"/>
        </w:rPr>
      </w:pPr>
      <w:r w:rsidRPr="00486110">
        <w:rPr>
          <w:rFonts w:asciiTheme="minorHAnsi" w:eastAsia="Gill Sans MT" w:hAnsiTheme="minorHAnsi" w:cstheme="minorHAnsi"/>
          <w:szCs w:val="22"/>
        </w:rPr>
        <w:t xml:space="preserve">Engage in regular project meetings, sharing updates on work and </w:t>
      </w:r>
      <w:proofErr w:type="gramStart"/>
      <w:r w:rsidRPr="00486110">
        <w:rPr>
          <w:rFonts w:asciiTheme="minorHAnsi" w:eastAsia="Gill Sans MT" w:hAnsiTheme="minorHAnsi" w:cstheme="minorHAnsi"/>
          <w:szCs w:val="22"/>
        </w:rPr>
        <w:t>collating</w:t>
      </w:r>
      <w:proofErr w:type="gramEnd"/>
      <w:r w:rsidRPr="00486110">
        <w:rPr>
          <w:rFonts w:asciiTheme="minorHAnsi" w:eastAsia="Gill Sans MT" w:hAnsiTheme="minorHAnsi" w:cstheme="minorHAnsi"/>
          <w:szCs w:val="22"/>
        </w:rPr>
        <w:t xml:space="preserve"> feedback to ensure research aligns with the industrial partners.</w:t>
      </w:r>
    </w:p>
    <w:p w14:paraId="59750F54" w14:textId="77777777" w:rsidR="007562D6" w:rsidRPr="00486110" w:rsidRDefault="007562D6" w:rsidP="007562D6">
      <w:pPr>
        <w:numPr>
          <w:ilvl w:val="0"/>
          <w:numId w:val="1"/>
        </w:numPr>
        <w:rPr>
          <w:rFonts w:asciiTheme="minorHAnsi" w:eastAsia="Calibri" w:hAnsiTheme="minorHAnsi" w:cstheme="minorHAnsi"/>
          <w:szCs w:val="22"/>
          <w:lang w:val="en-GB"/>
        </w:rPr>
      </w:pPr>
      <w:r w:rsidRPr="00486110">
        <w:rPr>
          <w:rFonts w:asciiTheme="minorHAnsi" w:eastAsia="Gill Sans MT" w:hAnsiTheme="minorHAnsi" w:cstheme="minorHAnsi"/>
          <w:szCs w:val="22"/>
        </w:rPr>
        <w:t>Collaborate with colleagues on the development of knowledge exchange activities by, for example, participating in initiatives which establish research links with industry and influence public policy.</w:t>
      </w:r>
    </w:p>
    <w:p w14:paraId="7AD9EBBE" w14:textId="77777777" w:rsidR="007562D6" w:rsidRPr="00486110" w:rsidRDefault="007562D6" w:rsidP="007562D6">
      <w:pPr>
        <w:numPr>
          <w:ilvl w:val="0"/>
          <w:numId w:val="1"/>
        </w:numPr>
        <w:rPr>
          <w:rFonts w:asciiTheme="minorHAnsi" w:eastAsia="Calibri" w:hAnsiTheme="minorHAnsi" w:cstheme="minorHAnsi"/>
          <w:szCs w:val="22"/>
          <w:lang w:val="en-GB"/>
        </w:rPr>
      </w:pPr>
      <w:r w:rsidRPr="00486110">
        <w:rPr>
          <w:rFonts w:asciiTheme="minorHAnsi" w:eastAsia="Gill Sans MT" w:hAnsiTheme="minorHAnsi" w:cstheme="minorHAnsi"/>
          <w:szCs w:val="22"/>
        </w:rPr>
        <w:t>Provide support and mentorship to PhD students within the Principal Investigator’s research group.</w:t>
      </w:r>
    </w:p>
    <w:p w14:paraId="1535DD40" w14:textId="77777777" w:rsidR="007562D6" w:rsidRDefault="007562D6" w:rsidP="007562D6">
      <w:pPr>
        <w:rPr>
          <w:rFonts w:ascii="Calibri" w:eastAsia="Calibri" w:hAnsi="Calibri" w:cs="Calibri"/>
          <w:b/>
          <w:bCs/>
          <w:sz w:val="24"/>
          <w:szCs w:val="24"/>
        </w:rPr>
      </w:pPr>
    </w:p>
    <w:p w14:paraId="4E75923A" w14:textId="77777777" w:rsidR="007562D6" w:rsidRPr="00A43841" w:rsidRDefault="007562D6" w:rsidP="007562D6">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lastRenderedPageBreak/>
        <w:t>The University recognises and celebrates good employment practice undertaken to address all inequality in higher education whilst promoting the importance and wellbeing for all our colleagues.</w:t>
      </w:r>
    </w:p>
    <w:p w14:paraId="0F779AD5" w14:textId="77777777" w:rsidR="007562D6" w:rsidRPr="00A43841" w:rsidRDefault="007562D6" w:rsidP="007562D6">
      <w:pPr>
        <w:shd w:val="clear" w:color="auto" w:fill="FFFFFF" w:themeFill="background1"/>
        <w:rPr>
          <w:rFonts w:ascii="Calibri" w:eastAsia="Calibri" w:hAnsi="Calibri" w:cs="Calibri"/>
          <w:color w:val="000000" w:themeColor="text1"/>
          <w:sz w:val="24"/>
          <w:szCs w:val="24"/>
          <w:lang w:val="en-GB"/>
        </w:rPr>
      </w:pPr>
    </w:p>
    <w:p w14:paraId="7A7B9619" w14:textId="77777777" w:rsidR="007562D6" w:rsidRDefault="007562D6" w:rsidP="007562D6">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t>We warmly welcome applicants from all sections of the community regardless of their age, religion, gender identity or expression, race, disability, or sexual orientation, and are committed to promoting diversity, and equality of opportunity.</w:t>
      </w:r>
    </w:p>
    <w:p w14:paraId="09297614" w14:textId="77777777" w:rsidR="00721B8A" w:rsidRPr="007562D6" w:rsidRDefault="00721B8A">
      <w:pPr>
        <w:rPr>
          <w:lang w:val="en-GB"/>
        </w:rPr>
      </w:pPr>
    </w:p>
    <w:sectPr w:rsidR="00721B8A" w:rsidRPr="00756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172C3"/>
    <w:multiLevelType w:val="hybridMultilevel"/>
    <w:tmpl w:val="F42AB006"/>
    <w:lvl w:ilvl="0" w:tplc="4E4E545A">
      <w:start w:val="1"/>
      <w:numFmt w:val="decimal"/>
      <w:lvlText w:val="%1."/>
      <w:lvlJc w:val="left"/>
      <w:pPr>
        <w:ind w:left="644" w:hanging="360"/>
      </w:pPr>
      <w:rPr>
        <w:rFonts w:ascii="Gill Sans MT" w:eastAsia="Gill Sans MT" w:hAnsi="Gill Sans MT" w:cs="Gill Sans MT"/>
      </w:rPr>
    </w:lvl>
    <w:lvl w:ilvl="1" w:tplc="AC0E30D8">
      <w:start w:val="1"/>
      <w:numFmt w:val="bullet"/>
      <w:lvlText w:val="o"/>
      <w:lvlJc w:val="left"/>
      <w:pPr>
        <w:ind w:left="1364" w:hanging="360"/>
      </w:pPr>
      <w:rPr>
        <w:rFonts w:ascii="Courier New" w:hAnsi="Courier New" w:hint="default"/>
      </w:rPr>
    </w:lvl>
    <w:lvl w:ilvl="2" w:tplc="544EC40A">
      <w:start w:val="1"/>
      <w:numFmt w:val="bullet"/>
      <w:lvlText w:val=""/>
      <w:lvlJc w:val="left"/>
      <w:pPr>
        <w:ind w:left="2084" w:hanging="360"/>
      </w:pPr>
      <w:rPr>
        <w:rFonts w:ascii="Wingdings" w:hAnsi="Wingdings" w:hint="default"/>
      </w:rPr>
    </w:lvl>
    <w:lvl w:ilvl="3" w:tplc="6D387D74">
      <w:start w:val="1"/>
      <w:numFmt w:val="bullet"/>
      <w:lvlText w:val=""/>
      <w:lvlJc w:val="left"/>
      <w:pPr>
        <w:ind w:left="2804" w:hanging="360"/>
      </w:pPr>
      <w:rPr>
        <w:rFonts w:ascii="Symbol" w:hAnsi="Symbol" w:hint="default"/>
      </w:rPr>
    </w:lvl>
    <w:lvl w:ilvl="4" w:tplc="404AA722">
      <w:start w:val="1"/>
      <w:numFmt w:val="bullet"/>
      <w:lvlText w:val="o"/>
      <w:lvlJc w:val="left"/>
      <w:pPr>
        <w:ind w:left="3524" w:hanging="360"/>
      </w:pPr>
      <w:rPr>
        <w:rFonts w:ascii="Courier New" w:hAnsi="Courier New" w:hint="default"/>
      </w:rPr>
    </w:lvl>
    <w:lvl w:ilvl="5" w:tplc="625A7A94">
      <w:start w:val="1"/>
      <w:numFmt w:val="bullet"/>
      <w:lvlText w:val=""/>
      <w:lvlJc w:val="left"/>
      <w:pPr>
        <w:ind w:left="4244" w:hanging="360"/>
      </w:pPr>
      <w:rPr>
        <w:rFonts w:ascii="Wingdings" w:hAnsi="Wingdings" w:hint="default"/>
      </w:rPr>
    </w:lvl>
    <w:lvl w:ilvl="6" w:tplc="DDAA631C">
      <w:start w:val="1"/>
      <w:numFmt w:val="bullet"/>
      <w:lvlText w:val=""/>
      <w:lvlJc w:val="left"/>
      <w:pPr>
        <w:ind w:left="4964" w:hanging="360"/>
      </w:pPr>
      <w:rPr>
        <w:rFonts w:ascii="Symbol" w:hAnsi="Symbol" w:hint="default"/>
      </w:rPr>
    </w:lvl>
    <w:lvl w:ilvl="7" w:tplc="8F6A44AC">
      <w:start w:val="1"/>
      <w:numFmt w:val="bullet"/>
      <w:lvlText w:val="o"/>
      <w:lvlJc w:val="left"/>
      <w:pPr>
        <w:ind w:left="5684" w:hanging="360"/>
      </w:pPr>
      <w:rPr>
        <w:rFonts w:ascii="Courier New" w:hAnsi="Courier New" w:hint="default"/>
      </w:rPr>
    </w:lvl>
    <w:lvl w:ilvl="8" w:tplc="FCFE26B4">
      <w:start w:val="1"/>
      <w:numFmt w:val="bullet"/>
      <w:lvlText w:val=""/>
      <w:lvlJc w:val="left"/>
      <w:pPr>
        <w:ind w:left="6404" w:hanging="360"/>
      </w:pPr>
      <w:rPr>
        <w:rFonts w:ascii="Wingdings" w:hAnsi="Wingdings" w:hint="default"/>
      </w:rPr>
    </w:lvl>
  </w:abstractNum>
  <w:num w:numId="1" w16cid:durableId="170802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D6"/>
    <w:rsid w:val="00400E8B"/>
    <w:rsid w:val="00721B8A"/>
    <w:rsid w:val="007506F0"/>
    <w:rsid w:val="007562D6"/>
    <w:rsid w:val="00806ABF"/>
    <w:rsid w:val="009B3F6D"/>
    <w:rsid w:val="00AE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27CA"/>
  <w15:chartTrackingRefBased/>
  <w15:docId w15:val="{FB43507D-2511-4934-B61F-1B39BEF5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2D6"/>
    <w:pPr>
      <w:spacing w:after="0" w:line="240" w:lineRule="auto"/>
      <w:jc w:val="both"/>
    </w:pPr>
    <w:rPr>
      <w:rFonts w:ascii="Times New Roman" w:eastAsia="Times New Roman" w:hAnsi="Times New Roman" w:cs="Times New Roman"/>
      <w:kern w:val="0"/>
      <w:sz w:val="22"/>
      <w:szCs w:val="20"/>
      <w:lang w:val="en-US" w:eastAsia="en-GB"/>
      <w14:ligatures w14:val="none"/>
    </w:rPr>
  </w:style>
  <w:style w:type="paragraph" w:styleId="Heading1">
    <w:name w:val="heading 1"/>
    <w:basedOn w:val="Normal"/>
    <w:next w:val="Normal"/>
    <w:link w:val="Heading1Char"/>
    <w:uiPriority w:val="9"/>
    <w:qFormat/>
    <w:rsid w:val="00756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2D6"/>
    <w:rPr>
      <w:rFonts w:eastAsiaTheme="majorEastAsia" w:cstheme="majorBidi"/>
      <w:color w:val="272727" w:themeColor="text1" w:themeTint="D8"/>
    </w:rPr>
  </w:style>
  <w:style w:type="paragraph" w:styleId="Title">
    <w:name w:val="Title"/>
    <w:basedOn w:val="Normal"/>
    <w:next w:val="Normal"/>
    <w:link w:val="TitleChar"/>
    <w:uiPriority w:val="10"/>
    <w:qFormat/>
    <w:rsid w:val="00756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2D6"/>
    <w:pPr>
      <w:spacing w:before="160"/>
      <w:jc w:val="center"/>
    </w:pPr>
    <w:rPr>
      <w:i/>
      <w:iCs/>
      <w:color w:val="404040" w:themeColor="text1" w:themeTint="BF"/>
    </w:rPr>
  </w:style>
  <w:style w:type="character" w:customStyle="1" w:styleId="QuoteChar">
    <w:name w:val="Quote Char"/>
    <w:basedOn w:val="DefaultParagraphFont"/>
    <w:link w:val="Quote"/>
    <w:uiPriority w:val="29"/>
    <w:rsid w:val="007562D6"/>
    <w:rPr>
      <w:i/>
      <w:iCs/>
      <w:color w:val="404040" w:themeColor="text1" w:themeTint="BF"/>
    </w:rPr>
  </w:style>
  <w:style w:type="paragraph" w:styleId="ListParagraph">
    <w:name w:val="List Paragraph"/>
    <w:basedOn w:val="Normal"/>
    <w:uiPriority w:val="34"/>
    <w:qFormat/>
    <w:rsid w:val="007562D6"/>
    <w:pPr>
      <w:ind w:left="720"/>
      <w:contextualSpacing/>
    </w:pPr>
  </w:style>
  <w:style w:type="character" w:styleId="IntenseEmphasis">
    <w:name w:val="Intense Emphasis"/>
    <w:basedOn w:val="DefaultParagraphFont"/>
    <w:uiPriority w:val="21"/>
    <w:qFormat/>
    <w:rsid w:val="007562D6"/>
    <w:rPr>
      <w:i/>
      <w:iCs/>
      <w:color w:val="0F4761" w:themeColor="accent1" w:themeShade="BF"/>
    </w:rPr>
  </w:style>
  <w:style w:type="paragraph" w:styleId="IntenseQuote">
    <w:name w:val="Intense Quote"/>
    <w:basedOn w:val="Normal"/>
    <w:next w:val="Normal"/>
    <w:link w:val="IntenseQuoteChar"/>
    <w:uiPriority w:val="30"/>
    <w:qFormat/>
    <w:rsid w:val="00756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2D6"/>
    <w:rPr>
      <w:i/>
      <w:iCs/>
      <w:color w:val="0F4761" w:themeColor="accent1" w:themeShade="BF"/>
    </w:rPr>
  </w:style>
  <w:style w:type="character" w:styleId="IntenseReference">
    <w:name w:val="Intense Reference"/>
    <w:basedOn w:val="DefaultParagraphFont"/>
    <w:uiPriority w:val="32"/>
    <w:qFormat/>
    <w:rsid w:val="007562D6"/>
    <w:rPr>
      <w:b/>
      <w:bCs/>
      <w:smallCaps/>
      <w:color w:val="0F4761" w:themeColor="accent1" w:themeShade="BF"/>
      <w:spacing w:val="5"/>
    </w:rPr>
  </w:style>
  <w:style w:type="character" w:styleId="Hyperlink">
    <w:name w:val="Hyperlink"/>
    <w:uiPriority w:val="99"/>
    <w:rsid w:val="009B3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Company>Lancaster University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Balderstone, Gillian</dc:creator>
  <cp:keywords/>
  <dc:description/>
  <cp:lastModifiedBy>Balderstone, Gillian</cp:lastModifiedBy>
  <cp:revision>2</cp:revision>
  <dcterms:created xsi:type="dcterms:W3CDTF">2026-05-18T10:41:00Z</dcterms:created>
  <dcterms:modified xsi:type="dcterms:W3CDTF">2026-05-18T10:41:00Z</dcterms:modified>
</cp:coreProperties>
</file>